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EB" w:rsidRDefault="00AF1EEB" w:rsidP="00AF1EEB">
      <w:pPr>
        <w:widowControl/>
        <w:autoSpaceDE w:val="0"/>
        <w:autoSpaceDN w:val="0"/>
        <w:spacing w:line="240" w:lineRule="auto"/>
        <w:jc w:val="center"/>
        <w:textAlignment w:val="bottom"/>
        <w:outlineLvl w:val="0"/>
        <w:rPr>
          <w:rFonts w:ascii="Times New Roman" w:eastAsia="標楷體"/>
          <w:b/>
          <w:sz w:val="32"/>
        </w:rPr>
      </w:pPr>
      <w:bookmarkStart w:id="0" w:name="_Toc303271219"/>
      <w:r w:rsidRPr="00B162E7">
        <w:rPr>
          <w:rFonts w:ascii="Times New Roman" w:eastAsia="標楷體" w:hint="eastAsia"/>
          <w:b/>
          <w:sz w:val="32"/>
          <w:shd w:val="pct15" w:color="auto" w:fill="FFFFFF"/>
        </w:rPr>
        <w:t>各年級必修學分表</w:t>
      </w:r>
      <w:bookmarkEnd w:id="0"/>
    </w:p>
    <w:p w:rsidR="00AF1EEB" w:rsidRDefault="00AF1EEB" w:rsidP="00AF1EEB">
      <w:pPr>
        <w:widowControl/>
        <w:autoSpaceDE w:val="0"/>
        <w:autoSpaceDN w:val="0"/>
        <w:snapToGrid w:val="0"/>
        <w:spacing w:line="240" w:lineRule="atLeast"/>
        <w:jc w:val="center"/>
        <w:textAlignment w:val="bottom"/>
        <w:rPr>
          <w:rFonts w:ascii="Times New Roman" w:eastAsia="標楷體"/>
          <w:sz w:val="20"/>
        </w:rPr>
      </w:pPr>
    </w:p>
    <w:tbl>
      <w:tblPr>
        <w:tblW w:w="14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6"/>
        <w:gridCol w:w="425"/>
        <w:gridCol w:w="709"/>
        <w:gridCol w:w="336"/>
        <w:gridCol w:w="2216"/>
        <w:gridCol w:w="425"/>
        <w:gridCol w:w="709"/>
        <w:gridCol w:w="336"/>
        <w:gridCol w:w="89"/>
        <w:gridCol w:w="595"/>
        <w:gridCol w:w="875"/>
        <w:gridCol w:w="426"/>
        <w:gridCol w:w="372"/>
        <w:gridCol w:w="762"/>
        <w:gridCol w:w="372"/>
        <w:gridCol w:w="2180"/>
        <w:gridCol w:w="371"/>
        <w:gridCol w:w="763"/>
      </w:tblGrid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3350" w:type="dxa"/>
            <w:gridSpan w:val="3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b/>
                <w:szCs w:val="24"/>
              </w:rPr>
            </w:pPr>
            <w:r w:rsidRPr="00B162E7">
              <w:rPr>
                <w:rFonts w:ascii="Times New Roman" w:eastAsia="標楷體"/>
                <w:b/>
                <w:szCs w:val="24"/>
              </w:rPr>
              <w:t>一年級</w:t>
            </w:r>
          </w:p>
        </w:tc>
        <w:tc>
          <w:tcPr>
            <w:tcW w:w="336" w:type="dxa"/>
            <w:vMerge w:val="restart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3350" w:type="dxa"/>
            <w:gridSpan w:val="3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b/>
                <w:szCs w:val="24"/>
              </w:rPr>
            </w:pPr>
            <w:r w:rsidRPr="00B162E7">
              <w:rPr>
                <w:rFonts w:ascii="Times New Roman" w:eastAsia="標楷體"/>
                <w:b/>
                <w:szCs w:val="24"/>
              </w:rPr>
              <w:t>二年級</w:t>
            </w:r>
          </w:p>
        </w:tc>
        <w:tc>
          <w:tcPr>
            <w:tcW w:w="336" w:type="dxa"/>
            <w:vMerge w:val="restart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b/>
                <w:szCs w:val="24"/>
              </w:rPr>
            </w:pPr>
            <w:proofErr w:type="gramStart"/>
            <w:r w:rsidRPr="00B162E7">
              <w:rPr>
                <w:rFonts w:ascii="Times New Roman" w:eastAsia="標楷體"/>
                <w:b/>
                <w:szCs w:val="24"/>
              </w:rPr>
              <w:t>三</w:t>
            </w:r>
            <w:proofErr w:type="gramEnd"/>
            <w:r w:rsidRPr="00B162E7">
              <w:rPr>
                <w:rFonts w:ascii="Times New Roman" w:eastAsia="標楷體"/>
                <w:b/>
                <w:szCs w:val="24"/>
              </w:rPr>
              <w:t>年級</w:t>
            </w:r>
          </w:p>
        </w:tc>
        <w:tc>
          <w:tcPr>
            <w:tcW w:w="372" w:type="dxa"/>
            <w:vMerge w:val="restart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3314" w:type="dxa"/>
            <w:gridSpan w:val="3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b/>
                <w:szCs w:val="24"/>
              </w:rPr>
            </w:pPr>
            <w:r w:rsidRPr="00B162E7">
              <w:rPr>
                <w:rFonts w:ascii="Times New Roman" w:eastAsia="標楷體"/>
                <w:b/>
                <w:szCs w:val="24"/>
              </w:rPr>
              <w:t>四年級</w:t>
            </w: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16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科目名稱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總學分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單學期學分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科目名稱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總學分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單學期學分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科目名稱</w:t>
            </w: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總學分</w:t>
            </w:r>
          </w:p>
        </w:tc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單學期學分</w:t>
            </w:r>
          </w:p>
        </w:tc>
        <w:tc>
          <w:tcPr>
            <w:tcW w:w="372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科目名稱</w:t>
            </w:r>
          </w:p>
        </w:tc>
        <w:tc>
          <w:tcPr>
            <w:tcW w:w="371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總學分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單學期學分</w:t>
            </w: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216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基礎英文寫作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中級英文寫作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高級英文寫作</w:t>
            </w:r>
          </w:p>
        </w:tc>
        <w:tc>
          <w:tcPr>
            <w:tcW w:w="372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62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72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美國文學</w:t>
            </w:r>
          </w:p>
        </w:tc>
        <w:tc>
          <w:tcPr>
            <w:tcW w:w="371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6</w:t>
            </w:r>
          </w:p>
        </w:tc>
        <w:tc>
          <w:tcPr>
            <w:tcW w:w="763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3-3</w:t>
            </w: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216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英語會話（一）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英語會話（二）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英語會話（三）</w:t>
            </w:r>
          </w:p>
        </w:tc>
        <w:tc>
          <w:tcPr>
            <w:tcW w:w="372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62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72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AF1EEB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int="eastAsia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英國文學</w:t>
            </w:r>
          </w:p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(</w:t>
            </w:r>
            <w:proofErr w:type="gramStart"/>
            <w:r w:rsidRPr="00B162E7">
              <w:rPr>
                <w:rFonts w:ascii="Times New Roman" w:eastAsia="標楷體"/>
                <w:szCs w:val="24"/>
              </w:rPr>
              <w:t>一</w:t>
            </w:r>
            <w:proofErr w:type="gramEnd"/>
            <w:r w:rsidRPr="00B162E7">
              <w:rPr>
                <w:rFonts w:ascii="Times New Roman" w:eastAsia="標楷體"/>
                <w:szCs w:val="24"/>
              </w:rPr>
              <w:t>)</w:t>
            </w:r>
            <w:r>
              <w:rPr>
                <w:rFonts w:ascii="Times New Roman" w:eastAsia="標楷體" w:hint="eastAsia"/>
                <w:szCs w:val="24"/>
              </w:rPr>
              <w:t>or (</w:t>
            </w:r>
            <w:r>
              <w:rPr>
                <w:rFonts w:ascii="Times New Roman" w:eastAsia="標楷體" w:hint="eastAsia"/>
                <w:szCs w:val="24"/>
              </w:rPr>
              <w:t>二</w:t>
            </w:r>
            <w:r>
              <w:rPr>
                <w:rFonts w:ascii="Times New Roman" w:eastAsia="標楷體" w:hint="eastAsia"/>
                <w:szCs w:val="24"/>
              </w:rPr>
              <w:t>)or (</w:t>
            </w:r>
            <w:r>
              <w:rPr>
                <w:rFonts w:ascii="Times New Roman" w:eastAsia="標楷體" w:hint="eastAsia"/>
                <w:szCs w:val="24"/>
              </w:rPr>
              <w:t>三</w:t>
            </w:r>
            <w:r>
              <w:rPr>
                <w:rFonts w:ascii="Times New Roman" w:eastAsia="標楷體" w:hint="eastAsia"/>
                <w:szCs w:val="24"/>
              </w:rPr>
              <w:t>)</w:t>
            </w:r>
          </w:p>
        </w:tc>
        <w:tc>
          <w:tcPr>
            <w:tcW w:w="371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6</w:t>
            </w:r>
          </w:p>
        </w:tc>
        <w:tc>
          <w:tcPr>
            <w:tcW w:w="763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3-3</w:t>
            </w: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16" w:type="dxa"/>
            <w:vMerge w:val="restart"/>
            <w:vAlign w:val="center"/>
          </w:tcPr>
          <w:p w:rsidR="00AF1EEB" w:rsidRPr="00B162E7" w:rsidRDefault="00AF1EEB" w:rsidP="006E31E2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文學概論</w:t>
            </w:r>
          </w:p>
          <w:p w:rsidR="00AF1EEB" w:rsidRPr="00B162E7" w:rsidRDefault="00AF1EEB" w:rsidP="006E31E2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(</w:t>
            </w:r>
            <w:r w:rsidRPr="00B162E7">
              <w:rPr>
                <w:rFonts w:ascii="Times New Roman" w:eastAsia="標楷體"/>
                <w:szCs w:val="24"/>
              </w:rPr>
              <w:t>與</w:t>
            </w:r>
            <w:r>
              <w:rPr>
                <w:rFonts w:ascii="Times New Roman" w:eastAsia="標楷體" w:hint="eastAsia"/>
                <w:szCs w:val="24"/>
              </w:rPr>
              <w:t>外國語文</w:t>
            </w:r>
            <w:r w:rsidRPr="00B162E7">
              <w:rPr>
                <w:rFonts w:ascii="Times New Roman" w:eastAsia="標楷體"/>
                <w:szCs w:val="24"/>
              </w:rPr>
              <w:t>搭配上課，缺任</w:t>
            </w:r>
            <w:proofErr w:type="gramStart"/>
            <w:r w:rsidRPr="00B162E7">
              <w:rPr>
                <w:rFonts w:ascii="Times New Roman" w:eastAsia="標楷體"/>
                <w:szCs w:val="24"/>
              </w:rPr>
              <w:t>一</w:t>
            </w:r>
            <w:proofErr w:type="gramEnd"/>
            <w:r w:rsidRPr="00B162E7">
              <w:rPr>
                <w:rFonts w:ascii="Times New Roman" w:eastAsia="標楷體"/>
                <w:szCs w:val="24"/>
              </w:rPr>
              <w:t>課程，</w:t>
            </w:r>
            <w:proofErr w:type="gramStart"/>
            <w:r w:rsidRPr="00B162E7">
              <w:rPr>
                <w:rFonts w:ascii="Times New Roman" w:eastAsia="標楷體"/>
                <w:szCs w:val="24"/>
              </w:rPr>
              <w:t>學分均不承認</w:t>
            </w:r>
            <w:proofErr w:type="gramEnd"/>
            <w:r w:rsidRPr="00B162E7">
              <w:rPr>
                <w:rFonts w:ascii="Times New Roman" w:eastAsia="標楷體"/>
                <w:szCs w:val="24"/>
              </w:rPr>
              <w:t>)</w:t>
            </w:r>
          </w:p>
        </w:tc>
        <w:tc>
          <w:tcPr>
            <w:tcW w:w="425" w:type="dxa"/>
            <w:vMerge w:val="restart"/>
            <w:vAlign w:val="center"/>
          </w:tcPr>
          <w:p w:rsidR="00AF1EEB" w:rsidRPr="00B162E7" w:rsidRDefault="00AF1EEB" w:rsidP="006E31E2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AF1EEB" w:rsidRPr="00B162E7" w:rsidRDefault="00AF1EEB" w:rsidP="006E31E2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英語語言學概論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3-3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proofErr w:type="gramStart"/>
            <w:r w:rsidRPr="00B162E7">
              <w:rPr>
                <w:rFonts w:ascii="Times New Roman" w:eastAsia="標楷體"/>
                <w:szCs w:val="24"/>
              </w:rPr>
              <w:t>中英互譯及</w:t>
            </w:r>
            <w:proofErr w:type="gramEnd"/>
            <w:r w:rsidRPr="00B162E7">
              <w:rPr>
                <w:rFonts w:ascii="Times New Roman" w:eastAsia="標楷體"/>
                <w:szCs w:val="24"/>
              </w:rPr>
              <w:t>習作</w:t>
            </w:r>
          </w:p>
        </w:tc>
        <w:tc>
          <w:tcPr>
            <w:tcW w:w="372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62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72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專業倫理</w:t>
            </w:r>
          </w:p>
        </w:tc>
        <w:tc>
          <w:tcPr>
            <w:tcW w:w="371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763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2-0</w:t>
            </w: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16" w:type="dxa"/>
            <w:vMerge/>
            <w:vAlign w:val="center"/>
          </w:tcPr>
          <w:p w:rsidR="00AF1EEB" w:rsidRPr="00B162E7" w:rsidRDefault="00AF1EEB" w:rsidP="006E31E2">
            <w:pPr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AF1EEB" w:rsidRPr="00B162E7" w:rsidRDefault="00AF1EEB" w:rsidP="006E31E2">
            <w:pPr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F1EEB" w:rsidRPr="00B162E7" w:rsidRDefault="00AF1EEB" w:rsidP="006E31E2">
            <w:pPr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進階文學賞析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AF1EEB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 w:hint="eastAsia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英國文學</w:t>
            </w:r>
          </w:p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(</w:t>
            </w:r>
            <w:proofErr w:type="gramStart"/>
            <w:r w:rsidRPr="00B162E7">
              <w:rPr>
                <w:rFonts w:ascii="Times New Roman" w:eastAsia="標楷體"/>
                <w:szCs w:val="24"/>
              </w:rPr>
              <w:t>一</w:t>
            </w:r>
            <w:proofErr w:type="gramEnd"/>
            <w:r w:rsidRPr="00B162E7">
              <w:rPr>
                <w:rFonts w:ascii="Times New Roman" w:eastAsia="標楷體"/>
                <w:szCs w:val="24"/>
              </w:rPr>
              <w:t>)</w:t>
            </w:r>
            <w:r>
              <w:rPr>
                <w:rFonts w:ascii="Times New Roman" w:eastAsia="標楷體" w:hint="eastAsia"/>
                <w:szCs w:val="24"/>
              </w:rPr>
              <w:t>or (</w:t>
            </w:r>
            <w:r>
              <w:rPr>
                <w:rFonts w:ascii="Times New Roman" w:eastAsia="標楷體" w:hint="eastAsia"/>
                <w:szCs w:val="24"/>
              </w:rPr>
              <w:t>二</w:t>
            </w:r>
            <w:r>
              <w:rPr>
                <w:rFonts w:ascii="Times New Roman" w:eastAsia="標楷體" w:hint="eastAsia"/>
                <w:szCs w:val="24"/>
              </w:rPr>
              <w:t>)or (</w:t>
            </w:r>
            <w:r>
              <w:rPr>
                <w:rFonts w:ascii="Times New Roman" w:eastAsia="標楷體" w:hint="eastAsia"/>
                <w:szCs w:val="24"/>
              </w:rPr>
              <w:t>三</w:t>
            </w:r>
            <w:r>
              <w:rPr>
                <w:rFonts w:ascii="Times New Roman" w:eastAsia="標楷體" w:hint="eastAsia"/>
                <w:szCs w:val="24"/>
              </w:rPr>
              <w:t>)</w:t>
            </w:r>
          </w:p>
        </w:tc>
        <w:tc>
          <w:tcPr>
            <w:tcW w:w="372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6</w:t>
            </w:r>
          </w:p>
        </w:tc>
        <w:tc>
          <w:tcPr>
            <w:tcW w:w="762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3-3</w:t>
            </w:r>
          </w:p>
        </w:tc>
        <w:tc>
          <w:tcPr>
            <w:tcW w:w="372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畢業製作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1-1</w:t>
            </w: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87"/>
          <w:jc w:val="center"/>
        </w:trPr>
        <w:tc>
          <w:tcPr>
            <w:tcW w:w="221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研究方法與知識</w:t>
            </w:r>
          </w:p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管理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2-0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人生哲學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72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TOTAL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20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224"/>
          <w:jc w:val="center"/>
        </w:trPr>
        <w:tc>
          <w:tcPr>
            <w:tcW w:w="2216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外國語文</w:t>
            </w:r>
            <w:r w:rsidRPr="00B162E7">
              <w:rPr>
                <w:rFonts w:ascii="Times New Roman" w:eastAsia="標楷體"/>
                <w:szCs w:val="24"/>
              </w:rPr>
              <w:t>-</w:t>
            </w:r>
            <w:r w:rsidRPr="00B162E7">
              <w:rPr>
                <w:rFonts w:ascii="Times New Roman" w:eastAsia="標楷體"/>
                <w:szCs w:val="24"/>
              </w:rPr>
              <w:t>大</w:t>
            </w:r>
            <w:proofErr w:type="gramStart"/>
            <w:r w:rsidRPr="00B162E7">
              <w:rPr>
                <w:rFonts w:ascii="Times New Roman" w:eastAsia="標楷體"/>
                <w:szCs w:val="24"/>
              </w:rPr>
              <w:t>一</w:t>
            </w:r>
            <w:proofErr w:type="gramEnd"/>
            <w:r w:rsidRPr="00B162E7">
              <w:rPr>
                <w:rFonts w:ascii="Times New Roman" w:eastAsia="標楷體"/>
                <w:szCs w:val="24"/>
              </w:rPr>
              <w:t>英文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演說與辯論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2-0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TOTAL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20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vMerge/>
            <w:tcBorders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224"/>
          <w:jc w:val="center"/>
        </w:trPr>
        <w:tc>
          <w:tcPr>
            <w:tcW w:w="2216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大</w:t>
            </w:r>
            <w:proofErr w:type="gramStart"/>
            <w:r w:rsidRPr="00B162E7">
              <w:rPr>
                <w:rFonts w:ascii="Times New Roman" w:eastAsia="標楷體"/>
                <w:szCs w:val="24"/>
              </w:rPr>
              <w:t>一</w:t>
            </w:r>
            <w:proofErr w:type="gramEnd"/>
            <w:r w:rsidRPr="00B162E7">
              <w:rPr>
                <w:rFonts w:ascii="Times New Roman" w:eastAsia="標楷體"/>
                <w:szCs w:val="24"/>
              </w:rPr>
              <w:t>字彙與閱讀技巧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外國語文</w:t>
            </w:r>
            <w:r w:rsidRPr="00B162E7">
              <w:rPr>
                <w:rFonts w:ascii="Times New Roman" w:eastAsia="標楷體"/>
                <w:szCs w:val="24"/>
              </w:rPr>
              <w:t>-</w:t>
            </w:r>
            <w:r w:rsidRPr="00B162E7">
              <w:rPr>
                <w:rFonts w:ascii="Times New Roman" w:eastAsia="標楷體"/>
                <w:szCs w:val="24"/>
              </w:rPr>
              <w:t>進階英文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36" w:type="dxa"/>
            <w:vMerge/>
            <w:tcBorders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2216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專業英語聽講實習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1-1</w:t>
            </w:r>
          </w:p>
        </w:tc>
        <w:tc>
          <w:tcPr>
            <w:tcW w:w="336" w:type="dxa"/>
            <w:vMerge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體育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0-0</w:t>
            </w:r>
          </w:p>
        </w:tc>
        <w:tc>
          <w:tcPr>
            <w:tcW w:w="336" w:type="dxa"/>
            <w:vMerge/>
            <w:tcBorders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國文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2-2</w:t>
            </w:r>
          </w:p>
        </w:tc>
        <w:tc>
          <w:tcPr>
            <w:tcW w:w="336" w:type="dxa"/>
            <w:vMerge/>
            <w:tcBorders>
              <w:bottom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36" w:type="dxa"/>
            <w:vMerge/>
            <w:tcBorders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304"/>
          <w:jc w:val="center"/>
        </w:trPr>
        <w:tc>
          <w:tcPr>
            <w:tcW w:w="2216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大學入門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2-0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體育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0-0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2216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軍訓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0-0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tabs>
                <w:tab w:val="center" w:pos="184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7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16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導師時間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F1EEB" w:rsidRPr="00B162E7" w:rsidRDefault="00AF1EEB" w:rsidP="006E31E2">
            <w:pPr>
              <w:jc w:val="center"/>
              <w:rPr>
                <w:rFonts w:ascii="Times New Roman" w:eastAsia="標楷體"/>
                <w:szCs w:val="24"/>
              </w:rPr>
            </w:pPr>
            <w:r w:rsidRPr="00B162E7">
              <w:rPr>
                <w:rFonts w:ascii="Times New Roman" w:eastAsia="標楷體"/>
                <w:szCs w:val="24"/>
              </w:rPr>
              <w:t>0-0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104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  <w:tr w:rsidR="00AF1EEB" w:rsidRPr="00B162E7" w:rsidTr="006E31E2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2216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TOTAL</w:t>
            </w:r>
          </w:p>
        </w:tc>
        <w:tc>
          <w:tcPr>
            <w:tcW w:w="425" w:type="dxa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F1EEB" w:rsidRPr="00B162E7" w:rsidRDefault="00AF1EEB" w:rsidP="006E31E2">
            <w:pPr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ind w:left="34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ind w:left="34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ind w:left="34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ind w:left="34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5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EEB" w:rsidRPr="00B162E7" w:rsidRDefault="00AF1EEB" w:rsidP="006E31E2">
            <w:pPr>
              <w:widowControl/>
              <w:autoSpaceDE w:val="0"/>
              <w:autoSpaceDN w:val="0"/>
              <w:snapToGrid w:val="0"/>
              <w:spacing w:line="240" w:lineRule="auto"/>
              <w:ind w:left="34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AF1EEB" w:rsidRDefault="00AF1EEB" w:rsidP="00AF1EEB">
      <w:pPr>
        <w:widowControl/>
        <w:autoSpaceDE w:val="0"/>
        <w:autoSpaceDN w:val="0"/>
        <w:spacing w:line="240" w:lineRule="auto"/>
        <w:textAlignment w:val="bottom"/>
        <w:rPr>
          <w:rFonts w:ascii="Times New Roman" w:eastAsia="標楷體" w:hint="eastAsia"/>
          <w:b/>
        </w:rPr>
      </w:pPr>
    </w:p>
    <w:p w:rsidR="00AF1EEB" w:rsidRPr="00B162E7" w:rsidRDefault="00AF1EEB" w:rsidP="00AF1EEB">
      <w:pPr>
        <w:widowControl/>
        <w:autoSpaceDE w:val="0"/>
        <w:autoSpaceDN w:val="0"/>
        <w:spacing w:line="240" w:lineRule="auto"/>
        <w:textAlignment w:val="bottom"/>
        <w:rPr>
          <w:rFonts w:ascii="Times New Roman" w:eastAsia="標楷體" w:hint="eastAsia"/>
          <w:b/>
          <w:bCs/>
        </w:rPr>
      </w:pPr>
      <w:proofErr w:type="gramStart"/>
      <w:r w:rsidRPr="00B162E7">
        <w:rPr>
          <w:rFonts w:ascii="Times New Roman" w:eastAsia="標楷體" w:hint="eastAsia"/>
          <w:b/>
        </w:rPr>
        <w:t>註</w:t>
      </w:r>
      <w:proofErr w:type="gramEnd"/>
      <w:r w:rsidRPr="00B162E7">
        <w:rPr>
          <w:rFonts w:ascii="Times New Roman" w:eastAsia="標楷體" w:hint="eastAsia"/>
          <w:b/>
        </w:rPr>
        <w:t>：</w:t>
      </w:r>
      <w:bookmarkStart w:id="1" w:name="_Toc303271220"/>
      <w:r>
        <w:rPr>
          <w:rFonts w:ascii="Times New Roman" w:eastAsia="標楷體" w:hint="eastAsia"/>
          <w:b/>
        </w:rPr>
        <w:t>1.</w:t>
      </w:r>
      <w:r w:rsidRPr="00B162E7">
        <w:rPr>
          <w:rFonts w:ascii="Times New Roman" w:eastAsia="標楷體" w:hint="eastAsia"/>
          <w:b/>
          <w:bCs/>
        </w:rPr>
        <w:t>「文學導讀」與「</w:t>
      </w:r>
      <w:r>
        <w:rPr>
          <w:rFonts w:ascii="Times New Roman" w:eastAsia="標楷體" w:hint="eastAsia"/>
          <w:b/>
          <w:bCs/>
        </w:rPr>
        <w:t>外國語文</w:t>
      </w:r>
      <w:r w:rsidRPr="00B162E7">
        <w:rPr>
          <w:rFonts w:ascii="Times New Roman" w:eastAsia="標楷體" w:hint="eastAsia"/>
          <w:b/>
          <w:bCs/>
        </w:rPr>
        <w:t>」</w:t>
      </w:r>
      <w:proofErr w:type="gramStart"/>
      <w:r w:rsidRPr="00B162E7">
        <w:rPr>
          <w:rFonts w:ascii="Times New Roman" w:eastAsia="標楷體" w:hint="eastAsia"/>
          <w:b/>
          <w:bCs/>
        </w:rPr>
        <w:t>採</w:t>
      </w:r>
      <w:proofErr w:type="gramEnd"/>
      <w:r w:rsidRPr="00B162E7">
        <w:rPr>
          <w:rFonts w:ascii="Times New Roman" w:eastAsia="標楷體" w:hint="eastAsia"/>
          <w:b/>
          <w:bCs/>
        </w:rPr>
        <w:t>搭配上課，同學應於該學期同時修習，若缺任</w:t>
      </w:r>
      <w:proofErr w:type="gramStart"/>
      <w:r w:rsidRPr="00B162E7">
        <w:rPr>
          <w:rFonts w:ascii="Times New Roman" w:eastAsia="標楷體" w:hint="eastAsia"/>
          <w:b/>
          <w:bCs/>
        </w:rPr>
        <w:t>一</w:t>
      </w:r>
      <w:proofErr w:type="gramEnd"/>
      <w:r w:rsidRPr="00B162E7">
        <w:rPr>
          <w:rFonts w:ascii="Times New Roman" w:eastAsia="標楷體" w:hint="eastAsia"/>
          <w:b/>
          <w:bCs/>
        </w:rPr>
        <w:t>課程，則該學期學分概不承認。</w:t>
      </w:r>
      <w:bookmarkEnd w:id="1"/>
    </w:p>
    <w:p w:rsidR="00AF1EEB" w:rsidRPr="00B162E7" w:rsidRDefault="00AF1EEB" w:rsidP="00AF1EEB">
      <w:pPr>
        <w:widowControl/>
        <w:autoSpaceDE w:val="0"/>
        <w:autoSpaceDN w:val="0"/>
        <w:snapToGrid w:val="0"/>
        <w:spacing w:line="240" w:lineRule="auto"/>
        <w:textAlignment w:val="bottom"/>
        <w:outlineLvl w:val="0"/>
        <w:rPr>
          <w:rFonts w:ascii="Times New Roman" w:eastAsia="標楷體" w:hint="eastAsia"/>
          <w:b/>
          <w:bCs/>
        </w:rPr>
      </w:pPr>
      <w:bookmarkStart w:id="2" w:name="_Toc303271221"/>
      <w:r>
        <w:rPr>
          <w:rFonts w:ascii="Times New Roman" w:eastAsia="標楷體" w:hint="eastAsia"/>
          <w:b/>
          <w:bCs/>
        </w:rPr>
        <w:t xml:space="preserve">2. </w:t>
      </w:r>
      <w:r w:rsidRPr="00B162E7">
        <w:rPr>
          <w:rFonts w:ascii="Times New Roman" w:eastAsia="標楷體" w:hint="eastAsia"/>
          <w:b/>
          <w:bCs/>
        </w:rPr>
        <w:t>英文寫作</w:t>
      </w:r>
      <w:r w:rsidRPr="00B162E7">
        <w:rPr>
          <w:rFonts w:ascii="Times New Roman" w:eastAsia="標楷體" w:hint="eastAsia"/>
          <w:b/>
          <w:bCs/>
        </w:rPr>
        <w:t>(</w:t>
      </w:r>
      <w:r w:rsidRPr="00B162E7">
        <w:rPr>
          <w:rFonts w:ascii="Times New Roman" w:eastAsia="標楷體" w:hint="eastAsia"/>
          <w:b/>
          <w:bCs/>
        </w:rPr>
        <w:t>基礎→中級→高級</w:t>
      </w:r>
      <w:r w:rsidRPr="00B162E7">
        <w:rPr>
          <w:rFonts w:ascii="Times New Roman" w:eastAsia="標楷體" w:hint="eastAsia"/>
          <w:b/>
          <w:bCs/>
        </w:rPr>
        <w:t>)</w:t>
      </w:r>
      <w:r w:rsidRPr="00B162E7">
        <w:rPr>
          <w:rFonts w:ascii="Times New Roman" w:eastAsia="標楷體" w:hint="eastAsia"/>
          <w:b/>
          <w:bCs/>
        </w:rPr>
        <w:t>、會話</w:t>
      </w:r>
      <w:r w:rsidRPr="00B162E7">
        <w:rPr>
          <w:rFonts w:ascii="Times New Roman" w:eastAsia="標楷體" w:hint="eastAsia"/>
          <w:b/>
          <w:bCs/>
        </w:rPr>
        <w:t>(</w:t>
      </w:r>
      <w:proofErr w:type="gramStart"/>
      <w:r w:rsidRPr="00B162E7">
        <w:rPr>
          <w:rFonts w:ascii="Times New Roman" w:eastAsia="標楷體" w:hint="eastAsia"/>
          <w:b/>
          <w:bCs/>
        </w:rPr>
        <w:t>一</w:t>
      </w:r>
      <w:proofErr w:type="gramEnd"/>
      <w:r w:rsidRPr="00B162E7">
        <w:rPr>
          <w:rFonts w:ascii="Times New Roman" w:eastAsia="標楷體" w:hint="eastAsia"/>
          <w:b/>
          <w:bCs/>
        </w:rPr>
        <w:t>→二→三</w:t>
      </w:r>
      <w:r w:rsidRPr="00B162E7">
        <w:rPr>
          <w:rFonts w:ascii="Times New Roman" w:eastAsia="標楷體" w:hint="eastAsia"/>
          <w:b/>
          <w:bCs/>
        </w:rPr>
        <w:t>)</w:t>
      </w:r>
      <w:proofErr w:type="gramStart"/>
      <w:r w:rsidRPr="00B162E7">
        <w:rPr>
          <w:rFonts w:ascii="Times New Roman" w:eastAsia="標楷體" w:hint="eastAsia"/>
          <w:b/>
          <w:bCs/>
        </w:rPr>
        <w:t>為擋修</w:t>
      </w:r>
      <w:proofErr w:type="gramEnd"/>
      <w:r w:rsidRPr="00B162E7">
        <w:rPr>
          <w:rFonts w:ascii="Times New Roman" w:eastAsia="標楷體" w:hint="eastAsia"/>
          <w:b/>
          <w:bCs/>
        </w:rPr>
        <w:t>課程，同學須依序修習，否則學分概不承認。</w:t>
      </w:r>
      <w:bookmarkEnd w:id="2"/>
    </w:p>
    <w:p w:rsidR="00AF1EEB" w:rsidRPr="00B162E7" w:rsidRDefault="00AF1EEB" w:rsidP="00AF1EEB">
      <w:pPr>
        <w:widowControl/>
        <w:autoSpaceDE w:val="0"/>
        <w:autoSpaceDN w:val="0"/>
        <w:snapToGrid w:val="0"/>
        <w:spacing w:line="240" w:lineRule="auto"/>
        <w:textAlignment w:val="bottom"/>
        <w:outlineLvl w:val="0"/>
        <w:rPr>
          <w:rFonts w:ascii="Times New Roman" w:eastAsia="標楷體" w:hint="eastAsia"/>
          <w:b/>
          <w:bCs/>
          <w:sz w:val="20"/>
        </w:rPr>
      </w:pPr>
      <w:bookmarkStart w:id="3" w:name="_Toc303271222"/>
      <w:r>
        <w:rPr>
          <w:rFonts w:ascii="Times New Roman" w:eastAsia="標楷體" w:hint="eastAsia"/>
          <w:b/>
        </w:rPr>
        <w:t xml:space="preserve">3. </w:t>
      </w:r>
      <w:r w:rsidRPr="00B162E7">
        <w:rPr>
          <w:rFonts w:ascii="Times New Roman" w:eastAsia="標楷體" w:hint="eastAsia"/>
          <w:b/>
        </w:rPr>
        <w:t>英國文學</w:t>
      </w:r>
      <w:r w:rsidRPr="00B162E7">
        <w:rPr>
          <w:rFonts w:ascii="Times New Roman" w:eastAsia="標楷體" w:hint="eastAsia"/>
          <w:b/>
        </w:rPr>
        <w:t>(</w:t>
      </w:r>
      <w:proofErr w:type="gramStart"/>
      <w:r w:rsidRPr="00B162E7">
        <w:rPr>
          <w:rFonts w:ascii="Times New Roman" w:eastAsia="標楷體" w:hint="eastAsia"/>
          <w:b/>
        </w:rPr>
        <w:t>一</w:t>
      </w:r>
      <w:proofErr w:type="gramEnd"/>
      <w:r w:rsidRPr="00B162E7">
        <w:rPr>
          <w:rFonts w:ascii="Times New Roman" w:eastAsia="標楷體" w:hint="eastAsia"/>
          <w:b/>
        </w:rPr>
        <w:t>)</w:t>
      </w:r>
      <w:r w:rsidRPr="00B162E7">
        <w:rPr>
          <w:rFonts w:ascii="Times New Roman" w:eastAsia="標楷體" w:hint="eastAsia"/>
          <w:b/>
        </w:rPr>
        <w:t>、</w:t>
      </w:r>
      <w:r w:rsidRPr="00B162E7">
        <w:rPr>
          <w:rFonts w:ascii="Times New Roman" w:eastAsia="標楷體" w:hint="eastAsia"/>
          <w:b/>
        </w:rPr>
        <w:t>(</w:t>
      </w:r>
      <w:r w:rsidRPr="00B162E7">
        <w:rPr>
          <w:rFonts w:ascii="Times New Roman" w:eastAsia="標楷體" w:hint="eastAsia"/>
          <w:b/>
        </w:rPr>
        <w:t>二</w:t>
      </w:r>
      <w:r w:rsidRPr="00B162E7">
        <w:rPr>
          <w:rFonts w:ascii="Times New Roman" w:eastAsia="標楷體" w:hint="eastAsia"/>
          <w:b/>
        </w:rPr>
        <w:t>)</w:t>
      </w:r>
      <w:r w:rsidRPr="00B162E7">
        <w:rPr>
          <w:rFonts w:ascii="Times New Roman" w:eastAsia="標楷體" w:hint="eastAsia"/>
          <w:b/>
        </w:rPr>
        <w:t>、</w:t>
      </w:r>
      <w:r w:rsidRPr="00B162E7">
        <w:rPr>
          <w:rFonts w:ascii="Times New Roman" w:eastAsia="標楷體" w:hint="eastAsia"/>
          <w:b/>
        </w:rPr>
        <w:t>(</w:t>
      </w:r>
      <w:r w:rsidRPr="00B162E7">
        <w:rPr>
          <w:rFonts w:ascii="Times New Roman" w:eastAsia="標楷體" w:hint="eastAsia"/>
          <w:b/>
        </w:rPr>
        <w:t>三</w:t>
      </w:r>
      <w:r w:rsidRPr="00B162E7">
        <w:rPr>
          <w:rFonts w:ascii="Times New Roman" w:eastAsia="標楷體" w:hint="eastAsia"/>
          <w:b/>
        </w:rPr>
        <w:t xml:space="preserve">) </w:t>
      </w:r>
      <w:r w:rsidRPr="00B162E7">
        <w:rPr>
          <w:rFonts w:ascii="Times New Roman" w:eastAsia="標楷體" w:hint="eastAsia"/>
          <w:b/>
        </w:rPr>
        <w:t>為必修三選二課程，同學可於三門中任選兩門為必修，第三門可視為本系選修。</w:t>
      </w:r>
      <w:bookmarkEnd w:id="3"/>
    </w:p>
    <w:p w:rsidR="00AF1EEB" w:rsidRDefault="00AF1EEB" w:rsidP="00AF1EEB">
      <w:pPr>
        <w:widowControl/>
        <w:autoSpaceDE w:val="0"/>
        <w:autoSpaceDN w:val="0"/>
        <w:snapToGrid w:val="0"/>
        <w:spacing w:line="240" w:lineRule="auto"/>
        <w:textAlignment w:val="bottom"/>
        <w:outlineLvl w:val="0"/>
        <w:rPr>
          <w:rFonts w:ascii="Times New Roman" w:eastAsia="標楷體"/>
          <w:b/>
        </w:rPr>
      </w:pPr>
      <w:bookmarkStart w:id="4" w:name="_Toc303271223"/>
      <w:r>
        <w:rPr>
          <w:rFonts w:ascii="Times New Roman" w:eastAsia="標楷體" w:hint="eastAsia"/>
          <w:b/>
        </w:rPr>
        <w:t xml:space="preserve">4. </w:t>
      </w:r>
      <w:r w:rsidRPr="00B162E7">
        <w:rPr>
          <w:rFonts w:ascii="Times New Roman" w:eastAsia="標楷體" w:hint="eastAsia"/>
          <w:b/>
        </w:rPr>
        <w:t>修讀「專業倫理」前，須先修畢「人生哲學」之學分。</w:t>
      </w:r>
      <w:bookmarkEnd w:id="4"/>
    </w:p>
    <w:p w:rsidR="00FD21CD" w:rsidRPr="00AF1EEB" w:rsidRDefault="00AF1EEB">
      <w:bookmarkStart w:id="5" w:name="_GoBack"/>
      <w:bookmarkEnd w:id="5"/>
    </w:p>
    <w:sectPr w:rsidR="00FD21CD" w:rsidRPr="00AF1EEB" w:rsidSect="00AF1EE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EB"/>
    <w:rsid w:val="003B0AEC"/>
    <w:rsid w:val="00A37966"/>
    <w:rsid w:val="00A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EB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EB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2015-07-23T06:11:00Z</dcterms:created>
  <dcterms:modified xsi:type="dcterms:W3CDTF">2015-07-23T06:12:00Z</dcterms:modified>
</cp:coreProperties>
</file>